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72439D">
        <w:rPr>
          <w:rFonts w:ascii="微軟正黑體" w:eastAsia="微軟正黑體" w:hAnsi="微軟正黑體" w:hint="eastAsia"/>
          <w:b/>
          <w:sz w:val="40"/>
        </w:rPr>
        <w:t xml:space="preserve"> 10</w:t>
      </w:r>
      <w:r w:rsidR="00CE2328">
        <w:rPr>
          <w:rFonts w:ascii="微軟正黑體" w:eastAsia="微軟正黑體" w:hAnsi="微軟正黑體" w:hint="eastAsia"/>
          <w:b/>
          <w:sz w:val="40"/>
        </w:rPr>
        <w:t>8</w:t>
      </w:r>
      <w:r w:rsidR="003676EC">
        <w:rPr>
          <w:rFonts w:ascii="微軟正黑體" w:eastAsia="微軟正黑體" w:hAnsi="微軟正黑體" w:hint="eastAsia"/>
          <w:b/>
          <w:sz w:val="40"/>
        </w:rPr>
        <w:t>學年度上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</w:t>
      </w:r>
      <w:proofErr w:type="gramStart"/>
      <w:r w:rsidRPr="00DC53A9">
        <w:rPr>
          <w:rFonts w:ascii="微軟正黑體" w:eastAsia="微軟正黑體" w:hAnsi="微軟正黑體" w:hint="eastAsia"/>
          <w:b/>
          <w:sz w:val="40"/>
        </w:rPr>
        <w:t>統測</w:t>
      </w:r>
      <w:r w:rsidR="000E5462">
        <w:rPr>
          <w:rFonts w:ascii="微軟正黑體" w:eastAsia="微軟正黑體" w:hAnsi="微軟正黑體" w:hint="eastAsia"/>
          <w:b/>
          <w:sz w:val="40"/>
        </w:rPr>
        <w:t>第二</w:t>
      </w:r>
      <w:proofErr w:type="gramEnd"/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0E5462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CE2328">
              <w:rPr>
                <w:rFonts w:ascii="標楷體" w:eastAsia="標楷體" w:hAnsi="標楷體" w:hint="eastAsia"/>
                <w:b/>
                <w:sz w:val="32"/>
                <w:szCs w:val="28"/>
              </w:rPr>
              <w:t>23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CE2328" w:rsidRDefault="00DC53A9" w:rsidP="00CE23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CE232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72439D" w:rsidRPr="00970580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※應考班級：幼保三、廣設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365F72" w:rsidRPr="00970580" w:rsidTr="003F558B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0E5462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12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CE2328">
              <w:rPr>
                <w:rFonts w:ascii="標楷體" w:eastAsia="標楷體" w:hAnsi="標楷體" w:hint="eastAsia"/>
                <w:b/>
                <w:sz w:val="32"/>
                <w:szCs w:val="28"/>
              </w:rPr>
              <w:t>24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CE2328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（星期二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412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資訊三、商經三、</w:t>
            </w:r>
          </w:p>
          <w:p w:rsidR="0072439D" w:rsidRPr="003F558B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幼保三、廣設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2439D" w:rsidRPr="00970580" w:rsidRDefault="0072439D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均為100分鐘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針筆或代用針筆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、水性簽字筆、水性或酒精性麥克筆、輔助繪製之橡皮擦、各種尺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規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(不含具有桌面功能之圖板或製圖板)，並得自備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透明桌墊及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固定紙張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用之弱黏性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</w:rPr>
              <w:t>英語類專</w:t>
            </w:r>
            <w:proofErr w:type="gramEnd"/>
            <w:r w:rsidRPr="003F558B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 xml:space="preserve">黑色 2B </w:t>
            </w:r>
            <w:proofErr w:type="gramStart"/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；「非選擇題</w:t>
            </w:r>
            <w:proofErr w:type="gramStart"/>
            <w:r w:rsidRPr="003F558B">
              <w:rPr>
                <w:rFonts w:ascii="標楷體" w:eastAsia="標楷體" w:hAnsi="標楷體" w:hint="eastAsia"/>
                <w:szCs w:val="28"/>
              </w:rPr>
              <w:t>作答區</w:t>
            </w:r>
            <w:proofErr w:type="gramEnd"/>
            <w:r w:rsidRPr="003F558B">
              <w:rPr>
                <w:rFonts w:ascii="標楷體" w:eastAsia="標楷體" w:hAnsi="標楷體" w:hint="eastAsia"/>
                <w:szCs w:val="28"/>
              </w:rPr>
              <w:t>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210750">
        <w:trPr>
          <w:trHeight w:val="107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907A9" w:rsidRDefault="000E5462" w:rsidP="00B84037">
            <w:pPr>
              <w:jc w:val="center"/>
              <w:rPr>
                <w:sz w:val="16"/>
                <w:szCs w:val="16"/>
              </w:rPr>
            </w:pPr>
            <w:r w:rsidRPr="000E5462">
              <w:rPr>
                <w:rFonts w:ascii="新細明體" w:hAnsi="新細明體" w:hint="eastAsia"/>
                <w:sz w:val="16"/>
                <w:szCs w:val="16"/>
              </w:rPr>
              <w:t>國文Ⅰ~國文Ⅲ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一、範文</w:t>
            </w:r>
            <w:r w:rsidRPr="00B84037">
              <w:rPr>
                <w:rFonts w:hint="eastAsia"/>
                <w:sz w:val="16"/>
                <w:szCs w:val="16"/>
              </w:rPr>
              <w:t xml:space="preserve">  1.1</w:t>
            </w:r>
            <w:r w:rsidRPr="00B84037">
              <w:rPr>
                <w:rFonts w:hint="eastAsia"/>
                <w:sz w:val="16"/>
                <w:szCs w:val="16"/>
              </w:rPr>
              <w:t>文選</w:t>
            </w:r>
            <w:r w:rsidRPr="00B84037">
              <w:rPr>
                <w:rFonts w:hint="eastAsia"/>
                <w:sz w:val="16"/>
                <w:szCs w:val="16"/>
              </w:rPr>
              <w:t xml:space="preserve">  1.2</w:t>
            </w:r>
            <w:r w:rsidRPr="00B84037">
              <w:rPr>
                <w:rFonts w:hint="eastAsia"/>
                <w:sz w:val="16"/>
                <w:szCs w:val="16"/>
              </w:rPr>
              <w:t>古典詩選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詞選</w:t>
            </w:r>
            <w:r w:rsidRPr="00B84037">
              <w:rPr>
                <w:rFonts w:hint="eastAsia"/>
                <w:sz w:val="16"/>
                <w:szCs w:val="16"/>
              </w:rPr>
              <w:t xml:space="preserve">  1.3</w:t>
            </w:r>
            <w:r>
              <w:rPr>
                <w:rFonts w:hint="eastAsia"/>
                <w:sz w:val="16"/>
                <w:szCs w:val="16"/>
              </w:rPr>
              <w:t>現代詩選</w:t>
            </w:r>
          </w:p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二、文化教材：論語選讀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孟子選讀</w:t>
            </w:r>
            <w:r w:rsidR="000E5462" w:rsidRPr="000E5462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0E5462" w:rsidRPr="000E5462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="000E5462" w:rsidRPr="000E5462">
              <w:rPr>
                <w:rFonts w:hint="eastAsia"/>
                <w:sz w:val="16"/>
                <w:szCs w:val="16"/>
              </w:rPr>
              <w:t>)</w:t>
            </w:r>
          </w:p>
          <w:p w:rsidR="00B84037" w:rsidRP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B976E4" w:rsidRPr="00D35FD1" w:rsidTr="00210750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907A9" w:rsidRDefault="00235556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3555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0E5462" w:rsidRPr="00D35FD1" w:rsidTr="00210750">
        <w:trPr>
          <w:trHeight w:val="32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12 家政群幼保類、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數學</w:t>
            </w:r>
            <w:r w:rsidRPr="000E5462">
              <w:rPr>
                <w:rFonts w:hint="eastAsia"/>
                <w:sz w:val="16"/>
                <w:szCs w:val="16"/>
              </w:rPr>
              <w:t>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一、直線方程式　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</w:tc>
      </w:tr>
      <w:tr w:rsidR="000E5462" w:rsidRPr="00D35FD1" w:rsidTr="00210750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數學Ⅱ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0E5462" w:rsidRDefault="000E5462" w:rsidP="00B77857">
            <w:pPr>
              <w:rPr>
                <w:sz w:val="16"/>
                <w:szCs w:val="16"/>
              </w:rPr>
            </w:pPr>
            <w:r w:rsidRPr="000E5462">
              <w:rPr>
                <w:rFonts w:hint="eastAsia"/>
                <w:sz w:val="16"/>
                <w:szCs w:val="16"/>
              </w:rPr>
              <w:t>一、向量　二、</w:t>
            </w:r>
            <w:proofErr w:type="gramStart"/>
            <w:r w:rsidRPr="000E5462">
              <w:rPr>
                <w:rFonts w:hint="eastAsia"/>
                <w:sz w:val="16"/>
                <w:szCs w:val="16"/>
              </w:rPr>
              <w:t>式的運算</w:t>
            </w:r>
            <w:proofErr w:type="gramEnd"/>
            <w:r w:rsidRPr="000E5462">
              <w:rPr>
                <w:rFonts w:hint="eastAsia"/>
                <w:sz w:val="16"/>
                <w:szCs w:val="16"/>
              </w:rPr>
              <w:t xml:space="preserve">　三、指數與對數及其運算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5462" w:rsidRPr="00EC65B6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0E5462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07 設計群、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0E5462" w:rsidRP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39D" w:rsidRPr="0072439D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綱多本的方式命題</w:t>
            </w:r>
          </w:p>
          <w:p w:rsidR="000E5462" w:rsidRPr="00EC65B6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故第Ⅳ冊第一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單元【三角函數的應用】於第二次考試納入考試範圍；</w:t>
            </w:r>
            <w:proofErr w:type="gramStart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第Ⅱ冊第</w:t>
            </w:r>
            <w:bookmarkStart w:id="0" w:name="_GoBack"/>
            <w:bookmarkEnd w:id="0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四</w:t>
            </w:r>
            <w:proofErr w:type="gramEnd"/>
            <w:r w:rsidRPr="0072439D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單元【不等式及其應用】本次不納入</w:t>
            </w:r>
          </w:p>
        </w:tc>
      </w:tr>
      <w:tr w:rsidR="000E5462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462" w:rsidRPr="000E5462" w:rsidRDefault="000E5462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proofErr w:type="gramStart"/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式的運算</w:t>
            </w:r>
            <w:proofErr w:type="gramEnd"/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E5462" w:rsidRPr="00EC65B6" w:rsidRDefault="000E5462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0E5462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5462" w:rsidRPr="000E5462" w:rsidRDefault="000E5462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462" w:rsidRPr="000E5462" w:rsidRDefault="000E5462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5462" w:rsidRPr="00EC65B6" w:rsidRDefault="000E5462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EB483F">
        <w:rPr>
          <w:rFonts w:ascii="華康新特明體(P)" w:eastAsia="華康新特明體(P)" w:hAnsi="華康新特明體(P)" w:hint="eastAsia"/>
          <w:sz w:val="36"/>
        </w:rPr>
        <w:t>測驗範圍</w:t>
      </w:r>
      <w:r>
        <w:rPr>
          <w:rFonts w:ascii="華康新特明體(P)" w:eastAsia="華康新特明體(P)" w:hAnsi="華康新特明體(P)" w:hint="eastAsia"/>
          <w:sz w:val="36"/>
        </w:rPr>
        <w:t>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731"/>
        <w:gridCol w:w="1842"/>
        <w:gridCol w:w="567"/>
        <w:gridCol w:w="993"/>
        <w:gridCol w:w="1842"/>
        <w:gridCol w:w="1807"/>
      </w:tblGrid>
      <w:tr w:rsidR="00F5107D" w:rsidRPr="004A27CE" w:rsidTr="00DA0EA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</w:tr>
      <w:tr w:rsidR="0030000B" w:rsidRPr="00210750" w:rsidTr="00DA0EA7">
        <w:trPr>
          <w:trHeight w:val="2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09 商業與</w:t>
            </w:r>
          </w:p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b/>
                <w:color w:val="000000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30000B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一至四-2單元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30000B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DA0EA7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DA0EA7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30000B" w:rsidRPr="00210750" w:rsidTr="00DA0EA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第一單元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proofErr w:type="gramStart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至十三單元</w:t>
            </w:r>
          </w:p>
        </w:tc>
      </w:tr>
      <w:tr w:rsidR="0030000B" w:rsidRPr="00210750" w:rsidTr="00DA0EA7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30000B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000B" w:rsidRPr="0072439D" w:rsidRDefault="0030000B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0000B" w:rsidRPr="00210750" w:rsidRDefault="0030000B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72439D" w:rsidRDefault="0030000B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000B" w:rsidRPr="00210750" w:rsidRDefault="0030000B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72439D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DA0EA7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一至八單元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</w:tr>
      <w:tr w:rsidR="00210750" w:rsidRPr="00210750" w:rsidTr="00DA0EA7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210750" w:rsidRPr="00210750" w:rsidTr="0072439D">
        <w:trPr>
          <w:trHeight w:val="34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750" w:rsidRPr="0072439D" w:rsidRDefault="00210750" w:rsidP="0021075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</w:t>
            </w:r>
            <w:proofErr w:type="gramStart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一</w:t>
            </w:r>
            <w:proofErr w:type="gramEnd"/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一至八單元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750" w:rsidRPr="00210750" w:rsidRDefault="0021075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72439D">
        <w:trPr>
          <w:trHeight w:val="39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  <w:tc>
          <w:tcPr>
            <w:tcW w:w="52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BF67E5">
        <w:trPr>
          <w:trHeight w:val="398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72439D" w:rsidRPr="00210750" w:rsidTr="00BF67E5">
        <w:trPr>
          <w:trHeight w:val="69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Pr="00210750" w:rsidRDefault="0072439D" w:rsidP="009B6807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439D" w:rsidRPr="00210750" w:rsidRDefault="0072439D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一至三單元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439D" w:rsidRPr="00210750" w:rsidRDefault="0072439D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D74F7F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D74F7F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65F72"/>
    <w:rsid w:val="003676EC"/>
    <w:rsid w:val="003B64C0"/>
    <w:rsid w:val="003F558B"/>
    <w:rsid w:val="00423B04"/>
    <w:rsid w:val="004350D2"/>
    <w:rsid w:val="004644BC"/>
    <w:rsid w:val="004A27CE"/>
    <w:rsid w:val="004B138F"/>
    <w:rsid w:val="00555BE8"/>
    <w:rsid w:val="005B2D12"/>
    <w:rsid w:val="005B63AE"/>
    <w:rsid w:val="0066763D"/>
    <w:rsid w:val="006C37D1"/>
    <w:rsid w:val="006C3A28"/>
    <w:rsid w:val="00705E36"/>
    <w:rsid w:val="0072439D"/>
    <w:rsid w:val="00780A5E"/>
    <w:rsid w:val="00785309"/>
    <w:rsid w:val="007B01FE"/>
    <w:rsid w:val="007C6118"/>
    <w:rsid w:val="007E01C1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B120DF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CE2328"/>
    <w:rsid w:val="00D35FD1"/>
    <w:rsid w:val="00D6081A"/>
    <w:rsid w:val="00D74F7F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5</cp:revision>
  <cp:lastPrinted>2019-11-11T10:36:00Z</cp:lastPrinted>
  <dcterms:created xsi:type="dcterms:W3CDTF">2018-11-11T04:39:00Z</dcterms:created>
  <dcterms:modified xsi:type="dcterms:W3CDTF">2019-11-11T10:36:00Z</dcterms:modified>
</cp:coreProperties>
</file>