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0F" w:rsidRDefault="00954438" w:rsidP="00BB3A93">
      <w:pPr>
        <w:jc w:val="center"/>
        <w:rPr>
          <w:rFonts w:ascii="標楷體" w:eastAsia="標楷體" w:hAnsi="標楷體"/>
          <w:b/>
          <w:color w:val="4B4A4A"/>
          <w:sz w:val="27"/>
          <w:szCs w:val="27"/>
          <w:u w:val="single"/>
        </w:rPr>
      </w:pPr>
      <w:hyperlink r:id="rId8" w:history="1">
        <w:r w:rsidR="00A639F0" w:rsidRPr="00BB3A93">
          <w:rPr>
            <w:rFonts w:ascii="標楷體" w:eastAsia="標楷體" w:hAnsi="標楷體" w:hint="eastAsia"/>
            <w:b/>
            <w:color w:val="4B4A4A"/>
            <w:sz w:val="27"/>
            <w:szCs w:val="27"/>
            <w:u w:val="single"/>
            <w:bdr w:val="none" w:sz="0" w:space="0" w:color="auto" w:frame="1"/>
          </w:rPr>
          <w:t>106學年度第1學期淡江高中</w:t>
        </w:r>
      </w:hyperlink>
      <w:r w:rsidR="005B44BF" w:rsidRPr="00BB3A93">
        <w:rPr>
          <w:rFonts w:ascii="標楷體" w:eastAsia="標楷體" w:hAnsi="標楷體" w:hint="eastAsia"/>
          <w:b/>
          <w:color w:val="4B4A4A"/>
          <w:sz w:val="27"/>
          <w:szCs w:val="27"/>
          <w:u w:val="single"/>
        </w:rPr>
        <w:t>多益英語測驗</w:t>
      </w:r>
      <w:r w:rsidR="00BB3A93" w:rsidRPr="00BB3A93">
        <w:rPr>
          <w:rFonts w:ascii="標楷體" w:eastAsia="標楷體" w:hAnsi="標楷體" w:hint="eastAsia"/>
          <w:b/>
          <w:color w:val="4B4A4A"/>
          <w:sz w:val="27"/>
          <w:szCs w:val="27"/>
          <w:u w:val="single"/>
        </w:rPr>
        <w:t>校園考相關事項</w:t>
      </w:r>
    </w:p>
    <w:p w:rsidR="007553E0" w:rsidRPr="00BB3A93" w:rsidRDefault="007553E0" w:rsidP="00BB3A93">
      <w:pPr>
        <w:jc w:val="center"/>
        <w:rPr>
          <w:rFonts w:ascii="標楷體" w:eastAsia="標楷體" w:hAnsi="標楷體"/>
          <w:b/>
          <w:color w:val="4B4A4A"/>
          <w:sz w:val="27"/>
          <w:szCs w:val="27"/>
          <w:u w:val="single"/>
        </w:rPr>
      </w:pPr>
    </w:p>
    <w:p w:rsidR="00334C91" w:rsidRPr="00334C91" w:rsidRDefault="005B44BF" w:rsidP="00334C91">
      <w:pPr>
        <w:pStyle w:val="a3"/>
        <w:numPr>
          <w:ilvl w:val="0"/>
          <w:numId w:val="7"/>
        </w:numPr>
        <w:ind w:leftChars="0"/>
        <w:rPr>
          <w:rFonts w:ascii="Arial" w:hAnsi="Arial" w:cs="Arial" w:hint="eastAsia"/>
          <w:sz w:val="21"/>
          <w:szCs w:val="21"/>
        </w:rPr>
      </w:pPr>
      <w:r w:rsidRPr="00334C91">
        <w:rPr>
          <w:rFonts w:ascii="Arial" w:hAnsi="Arial" w:cs="Arial" w:hint="eastAsia"/>
          <w:sz w:val="21"/>
          <w:szCs w:val="21"/>
        </w:rPr>
        <w:t>測驗地點：本校國中部二樓閱覽室</w:t>
      </w:r>
      <w:r w:rsidR="00334C91" w:rsidRPr="00334C91">
        <w:rPr>
          <w:rFonts w:ascii="Arial" w:hAnsi="Arial" w:cs="Arial" w:hint="eastAsia"/>
          <w:sz w:val="21"/>
          <w:szCs w:val="21"/>
        </w:rPr>
        <w:t>及同層其他教室</w:t>
      </w:r>
      <w:r w:rsidR="00334C91">
        <w:rPr>
          <w:rFonts w:ascii="Arial" w:hAnsi="Arial" w:cs="Arial" w:hint="eastAsia"/>
          <w:sz w:val="21"/>
          <w:szCs w:val="21"/>
        </w:rPr>
        <w:t>(</w:t>
      </w:r>
      <w:r w:rsidR="00334C91" w:rsidRPr="00334C91">
        <w:rPr>
          <w:rFonts w:ascii="Arial" w:hAnsi="Arial" w:cs="Arial" w:hint="eastAsia"/>
          <w:b/>
          <w:color w:val="FF0000"/>
          <w:sz w:val="21"/>
          <w:szCs w:val="21"/>
          <w:u w:val="single"/>
        </w:rPr>
        <w:t>考前幾天會收到准考證號碼，考試當天會張貼座位表在教室外，以准考證號碼查看自己的考場，若未收到准考證號碼則上多益官網以身份證字號及生日去查</w:t>
      </w:r>
      <w:r w:rsidR="00334C91">
        <w:rPr>
          <w:rFonts w:ascii="Arial" w:hAnsi="Arial" w:cs="Arial" w:hint="eastAsia"/>
          <w:sz w:val="21"/>
          <w:szCs w:val="21"/>
        </w:rPr>
        <w:t>)</w:t>
      </w:r>
    </w:p>
    <w:p w:rsidR="003F030F" w:rsidRPr="00334C91" w:rsidRDefault="003F030F" w:rsidP="00334C91">
      <w:pPr>
        <w:pStyle w:val="a3"/>
        <w:numPr>
          <w:ilvl w:val="0"/>
          <w:numId w:val="7"/>
        </w:numPr>
        <w:ind w:leftChars="0"/>
        <w:rPr>
          <w:rFonts w:ascii="Arial" w:hAnsi="Arial" w:cs="Arial"/>
          <w:sz w:val="21"/>
          <w:szCs w:val="21"/>
        </w:rPr>
      </w:pPr>
      <w:r w:rsidRPr="00334C91">
        <w:rPr>
          <w:rFonts w:ascii="Arial" w:hAnsi="Arial" w:cs="Arial" w:hint="eastAsia"/>
          <w:sz w:val="21"/>
          <w:szCs w:val="21"/>
        </w:rPr>
        <w:t>測驗日期：</w:t>
      </w:r>
      <w:r w:rsidRPr="00334C91">
        <w:rPr>
          <w:rFonts w:ascii="Arial" w:hAnsi="Arial" w:cs="Arial"/>
          <w:sz w:val="21"/>
          <w:szCs w:val="21"/>
          <w:bdr w:val="single" w:sz="4" w:space="0" w:color="auto"/>
        </w:rPr>
        <w:t xml:space="preserve">106 </w:t>
      </w:r>
      <w:r w:rsidRPr="00334C91">
        <w:rPr>
          <w:rFonts w:ascii="Arial" w:hAnsi="Arial" w:cs="Arial" w:hint="eastAsia"/>
          <w:sz w:val="21"/>
          <w:szCs w:val="21"/>
          <w:bdr w:val="single" w:sz="4" w:space="0" w:color="auto"/>
        </w:rPr>
        <w:t>年</w:t>
      </w:r>
      <w:r w:rsidRPr="00334C91">
        <w:rPr>
          <w:rFonts w:ascii="Arial" w:hAnsi="Arial" w:cs="Arial"/>
          <w:sz w:val="21"/>
          <w:szCs w:val="21"/>
          <w:bdr w:val="single" w:sz="4" w:space="0" w:color="auto"/>
        </w:rPr>
        <w:t>12</w:t>
      </w:r>
      <w:r w:rsidRPr="00334C91">
        <w:rPr>
          <w:rFonts w:ascii="Arial" w:hAnsi="Arial" w:cs="Arial" w:hint="eastAsia"/>
          <w:sz w:val="21"/>
          <w:szCs w:val="21"/>
          <w:bdr w:val="single" w:sz="4" w:space="0" w:color="auto"/>
        </w:rPr>
        <w:t>月</w:t>
      </w:r>
      <w:r w:rsidRPr="00334C91">
        <w:rPr>
          <w:rFonts w:ascii="Arial" w:hAnsi="Arial" w:cs="Arial"/>
          <w:sz w:val="21"/>
          <w:szCs w:val="21"/>
          <w:bdr w:val="single" w:sz="4" w:space="0" w:color="auto"/>
        </w:rPr>
        <w:t>3</w:t>
      </w:r>
      <w:r w:rsidRPr="00334C91">
        <w:rPr>
          <w:rFonts w:ascii="Arial" w:hAnsi="Arial" w:cs="Arial" w:hint="eastAsia"/>
          <w:sz w:val="21"/>
          <w:szCs w:val="21"/>
          <w:bdr w:val="single" w:sz="4" w:space="0" w:color="auto"/>
        </w:rPr>
        <w:t>日</w:t>
      </w:r>
      <w:r w:rsidRPr="00334C91">
        <w:rPr>
          <w:rFonts w:ascii="Arial" w:hAnsi="Arial" w:cs="Arial"/>
          <w:sz w:val="21"/>
          <w:szCs w:val="21"/>
          <w:bdr w:val="single" w:sz="4" w:space="0" w:color="auto"/>
        </w:rPr>
        <w:t xml:space="preserve"> (</w:t>
      </w:r>
      <w:r w:rsidRPr="00334C91">
        <w:rPr>
          <w:rFonts w:ascii="Arial" w:hAnsi="Arial" w:cs="Arial" w:hint="eastAsia"/>
          <w:sz w:val="21"/>
          <w:szCs w:val="21"/>
          <w:bdr w:val="single" w:sz="4" w:space="0" w:color="auto"/>
        </w:rPr>
        <w:t>日</w:t>
      </w:r>
      <w:r w:rsidRPr="00334C91">
        <w:rPr>
          <w:rFonts w:ascii="Arial" w:hAnsi="Arial" w:cs="Arial"/>
          <w:sz w:val="21"/>
          <w:szCs w:val="21"/>
          <w:bdr w:val="single" w:sz="4" w:space="0" w:color="auto"/>
        </w:rPr>
        <w:t>)  </w:t>
      </w:r>
      <w:r w:rsidRPr="00334C91">
        <w:rPr>
          <w:rFonts w:ascii="Arial" w:hAnsi="Arial" w:cs="Arial" w:hint="eastAsia"/>
          <w:sz w:val="21"/>
          <w:szCs w:val="21"/>
          <w:bdr w:val="single" w:sz="4" w:space="0" w:color="auto"/>
        </w:rPr>
        <w:t>上午</w:t>
      </w:r>
      <w:r w:rsidRPr="00334C91">
        <w:rPr>
          <w:rFonts w:ascii="Arial" w:hAnsi="Arial" w:cs="Arial"/>
          <w:sz w:val="21"/>
          <w:szCs w:val="21"/>
          <w:bdr w:val="single" w:sz="4" w:space="0" w:color="auto"/>
        </w:rPr>
        <w:t xml:space="preserve"> 9:30 ~ 12:00</w:t>
      </w:r>
      <w:r w:rsidR="00A639F0" w:rsidRPr="00334C91">
        <w:rPr>
          <w:rFonts w:ascii="Arial" w:hAnsi="Arial" w:cs="Arial" w:hint="eastAsia"/>
          <w:sz w:val="21"/>
          <w:szCs w:val="21"/>
        </w:rPr>
        <w:t>，</w:t>
      </w:r>
      <w:r w:rsidR="00BB3A93" w:rsidRPr="00334C91">
        <w:rPr>
          <w:rFonts w:ascii="Arial" w:hAnsi="Arial" w:cs="Arial" w:hint="eastAsia"/>
          <w:sz w:val="21"/>
          <w:szCs w:val="21"/>
        </w:rPr>
        <w:t>去年有一位同學遲到、一位</w:t>
      </w:r>
      <w:r w:rsidR="00513880" w:rsidRPr="00334C91">
        <w:rPr>
          <w:rFonts w:ascii="Arial" w:hAnsi="Arial" w:cs="Arial" w:hint="eastAsia"/>
          <w:sz w:val="21"/>
          <w:szCs w:val="21"/>
        </w:rPr>
        <w:t>護照當日已過期又沒辦身份證</w:t>
      </w:r>
      <w:r w:rsidR="00BB3A93" w:rsidRPr="00334C91">
        <w:rPr>
          <w:rFonts w:ascii="Arial" w:hAnsi="Arial" w:cs="Arial" w:hint="eastAsia"/>
          <w:sz w:val="21"/>
          <w:szCs w:val="21"/>
        </w:rPr>
        <w:t>均無法入場應考，</w:t>
      </w:r>
      <w:r w:rsidR="00BB3A93" w:rsidRPr="00EC1E72">
        <w:rPr>
          <w:rFonts w:ascii="Arial" w:hAnsi="Arial" w:cs="Arial" w:hint="eastAsia"/>
          <w:b/>
          <w:color w:val="FF0000"/>
          <w:sz w:val="21"/>
          <w:szCs w:val="21"/>
          <w:u w:val="single"/>
          <w:bdr w:val="single" w:sz="4" w:space="0" w:color="auto"/>
        </w:rPr>
        <w:t>早上</w:t>
      </w:r>
      <w:r w:rsidR="00BB3A93" w:rsidRPr="00EC1E72">
        <w:rPr>
          <w:rFonts w:ascii="Arial" w:hAnsi="Arial" w:cs="Arial" w:hint="eastAsia"/>
          <w:b/>
          <w:color w:val="FF0000"/>
          <w:sz w:val="21"/>
          <w:szCs w:val="21"/>
          <w:u w:val="single"/>
          <w:bdr w:val="single" w:sz="4" w:space="0" w:color="auto"/>
        </w:rPr>
        <w:t>9:00</w:t>
      </w:r>
      <w:r w:rsidR="00BB3A93" w:rsidRPr="00EC1E72">
        <w:rPr>
          <w:rFonts w:ascii="Arial" w:hAnsi="Arial" w:cs="Arial" w:hint="eastAsia"/>
          <w:b/>
          <w:color w:val="FF0000"/>
          <w:sz w:val="21"/>
          <w:szCs w:val="21"/>
          <w:u w:val="single"/>
          <w:bdr w:val="single" w:sz="4" w:space="0" w:color="auto"/>
        </w:rPr>
        <w:t>前</w:t>
      </w:r>
      <w:r w:rsidR="00BB3A93" w:rsidRPr="00334C91">
        <w:rPr>
          <w:rFonts w:ascii="Arial" w:hAnsi="Arial" w:cs="Arial" w:hint="eastAsia"/>
          <w:b/>
          <w:color w:val="FF0000"/>
          <w:sz w:val="21"/>
          <w:szCs w:val="21"/>
          <w:u w:val="single"/>
        </w:rPr>
        <w:t>就要抵達並進場，需提早使用洗手間</w:t>
      </w:r>
      <w:r w:rsidR="00334C91">
        <w:rPr>
          <w:rFonts w:ascii="Arial" w:hAnsi="Arial" w:cs="Arial" w:hint="eastAsia"/>
          <w:b/>
          <w:color w:val="FF0000"/>
          <w:sz w:val="21"/>
          <w:szCs w:val="21"/>
          <w:u w:val="single"/>
        </w:rPr>
        <w:t>，中間沒休息所以不要喝太多水</w:t>
      </w:r>
      <w:r w:rsidR="00BB3A93" w:rsidRPr="00334C91">
        <w:rPr>
          <w:rFonts w:ascii="Arial" w:hAnsi="Arial" w:cs="Arial" w:hint="eastAsia"/>
          <w:color w:val="FF0000"/>
          <w:sz w:val="21"/>
          <w:szCs w:val="21"/>
        </w:rPr>
        <w:t>。</w:t>
      </w:r>
    </w:p>
    <w:p w:rsidR="00BB3A93" w:rsidRPr="007553E0" w:rsidRDefault="00BB3A93" w:rsidP="005B44BF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 w:hint="eastAsia"/>
          <w:sz w:val="21"/>
          <w:szCs w:val="21"/>
        </w:rPr>
        <w:t>、</w:t>
      </w: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多益測驗屬於紙筆測驗，時間為</w:t>
      </w:r>
      <w:bookmarkStart w:id="0" w:name="_GoBack"/>
      <w:bookmarkEnd w:id="0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兩小時，總共有二百題，全部為單選題，分作兩大部分：聽力與閱讀，兩者分開計時。</w:t>
      </w:r>
    </w:p>
    <w:p w:rsidR="00BB3A93" w:rsidRPr="007553E0" w:rsidRDefault="00BB3A93" w:rsidP="00BB3A93">
      <w:pPr>
        <w:pStyle w:val="inwardtitle"/>
        <w:spacing w:before="225" w:beforeAutospacing="0" w:after="150" w:afterAutospacing="0" w:line="300" w:lineRule="atLeast"/>
        <w:ind w:left="480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b/>
          <w:bCs/>
          <w:color w:val="000000" w:themeColor="text1"/>
          <w:sz w:val="20"/>
          <w:szCs w:val="20"/>
        </w:rPr>
        <w:t>第一大類：聽力</w:t>
      </w:r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總共有一百題，共有四大題。考生會聽到各種各類英語的直述句、問句、短對話以及短獨白，然後根據所聽到的內容回答問題。聽力的考試時間大約為四十五分鐘。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第一大題：照片描述　 十題 (四選一)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第二大題：應答問題 三十題 (三選一)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第三大題：簡短對話 三十題 (四選一)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第四大題：簡短獨白 三十題 (四選一)</w:t>
      </w:r>
    </w:p>
    <w:p w:rsidR="00BB3A93" w:rsidRPr="007553E0" w:rsidRDefault="00BB3A93" w:rsidP="00BB3A93">
      <w:pPr>
        <w:pStyle w:val="inwardtitle"/>
        <w:spacing w:before="225" w:beforeAutospacing="0" w:after="150" w:afterAutospacing="0" w:line="300" w:lineRule="atLeast"/>
        <w:ind w:left="480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b/>
          <w:bCs/>
          <w:color w:val="000000" w:themeColor="text1"/>
          <w:sz w:val="20"/>
          <w:szCs w:val="20"/>
        </w:rPr>
        <w:t>第二大類：閱讀</w:t>
      </w:r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總共有一百題，題目及選項都印在題本上。</w:t>
      </w:r>
      <w:r w:rsidRPr="002729D0">
        <w:rPr>
          <w:rFonts w:ascii="標楷體" w:eastAsia="標楷體" w:hAnsi="標楷體"/>
          <w:b/>
          <w:color w:val="000000" w:themeColor="text1"/>
          <w:sz w:val="20"/>
          <w:szCs w:val="20"/>
          <w:u w:val="single"/>
        </w:rPr>
        <w:t>考生須閱讀多種題材的文章，然後回答相關問題</w:t>
      </w: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。考試時間為七十五分鐘，考生可在時限內依自己能力調配閱讀及答題速度。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第五大題：句子填空 四十題 (四選一)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第六大題：段落填空 十二題 (四選一)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第七大題：單篇閱讀 二十八題 (四選一)　</w:t>
      </w:r>
      <w:r w:rsidR="00C15782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 xml:space="preserve">  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雙篇閱讀</w:t>
      </w:r>
      <w:r w:rsidR="00C15782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二十題 (四選一)</w:t>
      </w:r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考生選好答案後，要在與題目卷分開的答案卷上劃卡。雖然答題時間約為兩小時，但考試時考生尚須在答案卷上填寫個人資料，並簡短的回答關於教育與工作經歷的問卷，因此真正待在考場內時間會較長。</w:t>
      </w:r>
    </w:p>
    <w:p w:rsidR="003F030F" w:rsidRPr="006E347B" w:rsidRDefault="00BB3A93" w:rsidP="005B44BF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3</w:t>
      </w:r>
      <w:r w:rsidR="003F030F">
        <w:rPr>
          <w:rFonts w:ascii="Arial" w:hAnsi="Arial" w:cs="Arial" w:hint="eastAsia"/>
          <w:sz w:val="21"/>
          <w:szCs w:val="21"/>
        </w:rPr>
        <w:t>、</w:t>
      </w:r>
      <w:r w:rsidR="003F030F" w:rsidRPr="000A6480">
        <w:rPr>
          <w:rFonts w:ascii="Arial" w:hAnsi="Arial" w:cs="Arial" w:hint="eastAsia"/>
          <w:color w:val="FF0000"/>
          <w:sz w:val="21"/>
          <w:szCs w:val="21"/>
        </w:rPr>
        <w:t>應考資訊寄發：</w:t>
      </w:r>
      <w:r w:rsidR="003F030F" w:rsidRPr="000A6480">
        <w:rPr>
          <w:rFonts w:ascii="Arial" w:hAnsi="Arial" w:cs="Arial"/>
          <w:color w:val="FF0000"/>
          <w:sz w:val="21"/>
          <w:szCs w:val="21"/>
        </w:rPr>
        <w:t>106/11/27</w:t>
      </w: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 xml:space="preserve">    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成績單寄發：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106/12/21</w:t>
      </w:r>
      <w:r w:rsidR="007553E0">
        <w:rPr>
          <w:rFonts w:ascii="Arial" w:hAnsi="Arial" w:cs="Arial" w:hint="eastAsia"/>
          <w:color w:val="000000" w:themeColor="text1"/>
          <w:sz w:val="21"/>
          <w:szCs w:val="21"/>
        </w:rPr>
        <w:t xml:space="preserve">  </w:t>
      </w:r>
      <w:r w:rsidR="007553E0">
        <w:rPr>
          <w:rFonts w:ascii="Arial" w:hAnsi="Arial" w:cs="Arial" w:hint="eastAsia"/>
          <w:sz w:val="21"/>
          <w:szCs w:val="21"/>
        </w:rPr>
        <w:t>應</w:t>
      </w:r>
      <w:r w:rsidR="007553E0">
        <w:rPr>
          <w:rFonts w:ascii="Arial" w:hAnsi="Arial" w:cs="Arial"/>
          <w:sz w:val="21"/>
          <w:szCs w:val="21"/>
        </w:rPr>
        <w:t>​</w:t>
      </w:r>
      <w:r w:rsidR="007553E0">
        <w:rPr>
          <w:rFonts w:ascii="Arial" w:hAnsi="Arial" w:cs="Arial" w:hint="eastAsia"/>
          <w:sz w:val="21"/>
          <w:szCs w:val="21"/>
        </w:rPr>
        <w:t>考資訊單及成績單請至</w:t>
      </w:r>
      <w:r w:rsidR="007553E0">
        <w:rPr>
          <w:rFonts w:ascii="Arial" w:hAnsi="Arial" w:cs="Arial"/>
          <w:sz w:val="21"/>
          <w:szCs w:val="21"/>
        </w:rPr>
        <w:t>​</w:t>
      </w:r>
      <w:r w:rsidR="007553E0">
        <w:rPr>
          <w:rFonts w:ascii="Arial" w:hAnsi="Arial" w:cs="Arial" w:hint="eastAsia"/>
          <w:sz w:val="21"/>
          <w:szCs w:val="21"/>
        </w:rPr>
        <w:t>多益官網「考生專區」查詢。</w:t>
      </w:r>
    </w:p>
    <w:p w:rsidR="003F030F" w:rsidRPr="006E347B" w:rsidRDefault="00BB3A93" w:rsidP="005B44BF">
      <w:pPr>
        <w:rPr>
          <w:rFonts w:ascii="Arial" w:hAnsi="Arial" w:cs="Arial"/>
          <w:color w:val="000000" w:themeColor="text1"/>
          <w:sz w:val="21"/>
          <w:szCs w:val="21"/>
        </w:rPr>
      </w:pP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4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、測驗當日務必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 1) 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攜帶有效證件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■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滿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16(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含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)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歲之考生：僅限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  <w:u w:val="single"/>
        </w:rPr>
        <w:t>身分證正本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  <w:u w:val="single"/>
        </w:rPr>
        <w:t>或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  <w:u w:val="single"/>
        </w:rPr>
        <w:t>有效期限內之護照正本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入場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  ■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未滿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16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歲考生可持健保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IC​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卡入場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(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健保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IC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卡無照片者將於現場拍照確認，所拍攝之照片將作為本次測驗成績單及付費申請之證書照片，且不得要求更換照片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)</w:t>
      </w:r>
    </w:p>
    <w:p w:rsidR="003F030F" w:rsidRDefault="003F030F" w:rsidP="005B44BF">
      <w:pPr>
        <w:pStyle w:val="Web"/>
        <w:spacing w:before="0" w:beforeAutospacing="0" w:after="0" w:afterAutospacing="0"/>
        <w:rPr>
          <w:sz w:val="21"/>
          <w:szCs w:val="21"/>
        </w:rPr>
      </w:pPr>
      <w:r w:rsidRPr="006E347B">
        <w:rPr>
          <w:rFonts w:ascii="Arial" w:hAnsi="Arial" w:cs="Arial"/>
          <w:color w:val="000000" w:themeColor="text1"/>
          <w:sz w:val="21"/>
          <w:szCs w:val="21"/>
        </w:rPr>
        <w:t xml:space="preserve"> 2) </w:t>
      </w: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於</w:t>
      </w:r>
      <w:r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考前</w:t>
      </w:r>
      <w:r w:rsidRPr="006E347B">
        <w:rPr>
          <w:rFonts w:ascii="Arial" w:hAnsi="Arial" w:cs="Arial"/>
          <w:b/>
          <w:bCs/>
          <w:color w:val="000000" w:themeColor="text1"/>
          <w:sz w:val="21"/>
          <w:szCs w:val="21"/>
        </w:rPr>
        <w:t>30</w:t>
      </w:r>
      <w:r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分鐘</w:t>
      </w:r>
      <w:r w:rsidRPr="006E347B">
        <w:rPr>
          <w:rFonts w:ascii="Arial" w:hAnsi="Arial" w:cs="Arial"/>
          <w:b/>
          <w:bCs/>
          <w:color w:val="000000" w:themeColor="text1"/>
          <w:sz w:val="21"/>
          <w:szCs w:val="21"/>
        </w:rPr>
        <w:t> </w:t>
      </w: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抵達應</w:t>
      </w:r>
      <w:r>
        <w:rPr>
          <w:rFonts w:ascii="Arial" w:hAnsi="Arial" w:cs="Arial" w:hint="eastAsia"/>
          <w:sz w:val="21"/>
          <w:szCs w:val="21"/>
        </w:rPr>
        <w:t>試教室，遲到者不得入場</w:t>
      </w:r>
      <w:r>
        <w:rPr>
          <w:rFonts w:ascii="Arial" w:hAnsi="Arial" w:cs="Arial"/>
          <w:sz w:val="21"/>
          <w:szCs w:val="21"/>
        </w:rPr>
        <w:t> </w:t>
      </w:r>
    </w:p>
    <w:p w:rsidR="003F030F" w:rsidRDefault="007553E0" w:rsidP="005B44B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5</w:t>
      </w:r>
      <w:r w:rsidR="000A728F">
        <w:rPr>
          <w:rFonts w:ascii="Arial" w:hAnsi="Arial" w:cs="Arial" w:hint="eastAsia"/>
          <w:sz w:val="21"/>
          <w:szCs w:val="21"/>
        </w:rPr>
        <w:t>、本校多益英語測驗敘獎辦法如</w:t>
      </w:r>
      <w:r w:rsidR="00BB3A93">
        <w:rPr>
          <w:rFonts w:ascii="Arial" w:hAnsi="Arial" w:cs="Arial" w:hint="eastAsia"/>
          <w:sz w:val="21"/>
          <w:szCs w:val="21"/>
        </w:rPr>
        <w:t>下，須於成績公布後兩個月內至英文科申請方得受理：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一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通過初級英檢或多益</w:t>
      </w:r>
      <w:r>
        <w:rPr>
          <w:rFonts w:ascii="標楷體" w:eastAsia="標楷體" w:hAnsi="標楷體" w:cs="標楷體"/>
        </w:rPr>
        <w:t>500</w:t>
      </w:r>
      <w:r>
        <w:rPr>
          <w:rFonts w:ascii="標楷體" w:eastAsia="標楷體" w:hAnsiTheme="minorHAnsi" w:cs="標楷體" w:hint="eastAsia"/>
        </w:rPr>
        <w:t>分以上：國中部學生給予新台幣叁百元之獎勵。高中部學生不予獎勵。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二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通過中級英檢初試或多益</w:t>
      </w:r>
      <w:r>
        <w:rPr>
          <w:rFonts w:ascii="標楷體" w:eastAsia="標楷體" w:hAnsi="標楷體" w:cs="標楷體"/>
        </w:rPr>
        <w:t>600</w:t>
      </w:r>
      <w:r>
        <w:rPr>
          <w:rFonts w:ascii="標楷體" w:eastAsia="標楷體" w:hAnsiTheme="minorHAnsi" w:cs="標楷體" w:hint="eastAsia"/>
        </w:rPr>
        <w:t>分以上：國中部學生給予新台幣伍佰元之獎勵、高中部學生不予獎勵。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三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通過中級英檢複試或多益</w:t>
      </w:r>
      <w:r>
        <w:rPr>
          <w:rFonts w:ascii="標楷體" w:eastAsia="標楷體" w:hAnsi="標楷體" w:cs="標楷體"/>
        </w:rPr>
        <w:t>700</w:t>
      </w:r>
      <w:r>
        <w:rPr>
          <w:rFonts w:ascii="標楷體" w:eastAsia="標楷體" w:hAnsiTheme="minorHAnsi" w:cs="標楷體" w:hint="eastAsia"/>
        </w:rPr>
        <w:t>分以上：國中部學生給予新台幣壹仟元之獎勵、高中部學生給予新台幣伍佰元之獎勵。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四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通過中高級英檢初試或多益</w:t>
      </w:r>
      <w:r>
        <w:rPr>
          <w:rFonts w:ascii="標楷體" w:eastAsia="標楷體" w:hAnsi="標楷體" w:cs="標楷體"/>
        </w:rPr>
        <w:t>750</w:t>
      </w:r>
      <w:r>
        <w:rPr>
          <w:rFonts w:ascii="標楷體" w:eastAsia="標楷體" w:hAnsiTheme="minorHAnsi" w:cs="標楷體" w:hint="eastAsia"/>
        </w:rPr>
        <w:t>分以上：國中部學生給予新台幣叁仟元之獎勵、高中部學生給予新台幣壹仟元之獎勵。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五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通過中高級英檢複試或多益</w:t>
      </w:r>
      <w:r>
        <w:rPr>
          <w:rFonts w:ascii="標楷體" w:eastAsia="標楷體" w:hAnsi="標楷體" w:cs="標楷體"/>
        </w:rPr>
        <w:t>850</w:t>
      </w:r>
      <w:r>
        <w:rPr>
          <w:rFonts w:ascii="標楷體" w:eastAsia="標楷體" w:hAnsiTheme="minorHAnsi" w:cs="標楷體" w:hint="eastAsia"/>
        </w:rPr>
        <w:t>分以上：國中部學生給予新台幣伍仟元之獎勵、高中部學生給予新台幣壹仟伍佰元之獎勵。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六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通過高級英檢初試或多益</w:t>
      </w:r>
      <w:r>
        <w:rPr>
          <w:rFonts w:ascii="標楷體" w:eastAsia="標楷體" w:hAnsi="標楷體" w:cs="標楷體"/>
        </w:rPr>
        <w:t>900</w:t>
      </w:r>
      <w:r>
        <w:rPr>
          <w:rFonts w:ascii="標楷體" w:eastAsia="標楷體" w:hAnsiTheme="minorHAnsi" w:cs="標楷體" w:hint="eastAsia"/>
        </w:rPr>
        <w:t>分以上：國中部學生給予新台幣捌仟元之獎勵、高中部學生給予新台幣伍仟元之獎勵。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七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通過高級英檢複試或多益</w:t>
      </w:r>
      <w:r>
        <w:rPr>
          <w:rFonts w:ascii="標楷體" w:eastAsia="標楷體" w:hAnsi="標楷體" w:cs="標楷體"/>
        </w:rPr>
        <w:t>950</w:t>
      </w:r>
      <w:r>
        <w:rPr>
          <w:rFonts w:ascii="標楷體" w:eastAsia="標楷體" w:hAnsiTheme="minorHAnsi" w:cs="標楷體" w:hint="eastAsia"/>
        </w:rPr>
        <w:t>分以上：國中部學生給予新台幣壹萬元之獎勵、高中部學生給予新台幣捌仟元之獎勵。</w:t>
      </w:r>
    </w:p>
    <w:p w:rsidR="003F030F" w:rsidRP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八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通過優級英檢初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Theme="minorHAnsi" w:cs="標楷體" w:hint="eastAsia"/>
        </w:rPr>
        <w:t>複試或多益</w:t>
      </w:r>
      <w:r>
        <w:rPr>
          <w:rFonts w:ascii="標楷體" w:eastAsia="標楷體" w:hAnsi="標楷體" w:cs="標楷體"/>
        </w:rPr>
        <w:t>990</w:t>
      </w:r>
      <w:r>
        <w:rPr>
          <w:rFonts w:ascii="標楷體" w:eastAsia="標楷體" w:hAnsiTheme="minorHAnsi" w:cs="標楷體" w:hint="eastAsia"/>
        </w:rPr>
        <w:t>分：國中部學生給予新台幣壹萬伍仟元之獎勵、高中部學生給予新台幣壹萬元之獎勵。</w:t>
      </w:r>
    </w:p>
    <w:sectPr w:rsidR="003F030F" w:rsidRPr="00BB3A93" w:rsidSect="00797067">
      <w:pgSz w:w="11907" w:h="16839" w:code="9"/>
      <w:pgMar w:top="0" w:right="141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57" w:rsidRDefault="00837D57" w:rsidP="007F22E3">
      <w:r>
        <w:separator/>
      </w:r>
    </w:p>
  </w:endnote>
  <w:endnote w:type="continuationSeparator" w:id="0">
    <w:p w:rsidR="00837D57" w:rsidRDefault="00837D57" w:rsidP="007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57" w:rsidRDefault="00837D57" w:rsidP="007F22E3">
      <w:r>
        <w:separator/>
      </w:r>
    </w:p>
  </w:footnote>
  <w:footnote w:type="continuationSeparator" w:id="0">
    <w:p w:rsidR="00837D57" w:rsidRDefault="00837D57" w:rsidP="007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A6C"/>
    <w:multiLevelType w:val="hybridMultilevel"/>
    <w:tmpl w:val="0FB84F04"/>
    <w:lvl w:ilvl="0" w:tplc="23DAC734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7E6F0D"/>
    <w:multiLevelType w:val="multilevel"/>
    <w:tmpl w:val="241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63C06"/>
    <w:multiLevelType w:val="hybridMultilevel"/>
    <w:tmpl w:val="C206D918"/>
    <w:lvl w:ilvl="0" w:tplc="908A6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F917D9"/>
    <w:multiLevelType w:val="hybridMultilevel"/>
    <w:tmpl w:val="F8847CBE"/>
    <w:lvl w:ilvl="0" w:tplc="226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E90FCB"/>
    <w:multiLevelType w:val="multilevel"/>
    <w:tmpl w:val="42E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A6FA8"/>
    <w:multiLevelType w:val="hybridMultilevel"/>
    <w:tmpl w:val="8F400FB0"/>
    <w:lvl w:ilvl="0" w:tplc="62EE9F7A">
      <w:start w:val="1"/>
      <w:numFmt w:val="decimal"/>
      <w:lvlText w:val="%1."/>
      <w:lvlJc w:val="left"/>
      <w:pPr>
        <w:ind w:left="249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</w:lvl>
  </w:abstractNum>
  <w:abstractNum w:abstractNumId="6">
    <w:nsid w:val="7FD85AD9"/>
    <w:multiLevelType w:val="hybridMultilevel"/>
    <w:tmpl w:val="32AE891A"/>
    <w:lvl w:ilvl="0" w:tplc="5F56E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A"/>
    <w:rsid w:val="000134DC"/>
    <w:rsid w:val="000557C5"/>
    <w:rsid w:val="000A6480"/>
    <w:rsid w:val="000A728F"/>
    <w:rsid w:val="00223824"/>
    <w:rsid w:val="00256913"/>
    <w:rsid w:val="002729D0"/>
    <w:rsid w:val="002824E6"/>
    <w:rsid w:val="0029172D"/>
    <w:rsid w:val="002A2883"/>
    <w:rsid w:val="0033009D"/>
    <w:rsid w:val="00334C91"/>
    <w:rsid w:val="003D1645"/>
    <w:rsid w:val="003F030F"/>
    <w:rsid w:val="004317FA"/>
    <w:rsid w:val="00513880"/>
    <w:rsid w:val="005355AA"/>
    <w:rsid w:val="00590877"/>
    <w:rsid w:val="005B44BF"/>
    <w:rsid w:val="005D5EE2"/>
    <w:rsid w:val="006167B2"/>
    <w:rsid w:val="00696B72"/>
    <w:rsid w:val="006E347B"/>
    <w:rsid w:val="006F13E7"/>
    <w:rsid w:val="006F495E"/>
    <w:rsid w:val="00710E67"/>
    <w:rsid w:val="007553E0"/>
    <w:rsid w:val="00773367"/>
    <w:rsid w:val="00797067"/>
    <w:rsid w:val="007F22E3"/>
    <w:rsid w:val="00837D57"/>
    <w:rsid w:val="00850729"/>
    <w:rsid w:val="00942698"/>
    <w:rsid w:val="00954438"/>
    <w:rsid w:val="00965B62"/>
    <w:rsid w:val="00A61816"/>
    <w:rsid w:val="00A639F0"/>
    <w:rsid w:val="00AB79FF"/>
    <w:rsid w:val="00AF5875"/>
    <w:rsid w:val="00BB3A93"/>
    <w:rsid w:val="00BF3F54"/>
    <w:rsid w:val="00C031F1"/>
    <w:rsid w:val="00C15782"/>
    <w:rsid w:val="00C835B9"/>
    <w:rsid w:val="00CA6C8E"/>
    <w:rsid w:val="00D95F03"/>
    <w:rsid w:val="00DA0D75"/>
    <w:rsid w:val="00E947A6"/>
    <w:rsid w:val="00EC1E72"/>
    <w:rsid w:val="00ED0776"/>
    <w:rsid w:val="00EE5236"/>
    <w:rsid w:val="00EE6DF2"/>
    <w:rsid w:val="00F12419"/>
    <w:rsid w:val="00F15A9A"/>
    <w:rsid w:val="00F43B0F"/>
    <w:rsid w:val="00FC5580"/>
    <w:rsid w:val="00FC7563"/>
    <w:rsid w:val="00FC7C9F"/>
    <w:rsid w:val="00FE24B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F030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F030F"/>
    <w:pPr>
      <w:spacing w:before="100" w:beforeAutospacing="1" w:after="100" w:afterAutospacing="1"/>
    </w:pPr>
  </w:style>
  <w:style w:type="character" w:customStyle="1" w:styleId="gmail-m1249094482750387628gmail-m-3425435351831159210gmail-m-1911353410593340080gmail-m3320168151753272124m-5659195986364689127gmail-m-7334177313281619431gmail-m-2762495598599527070m2543900570073075937gmail-m-8547988319796202018gmail-m-1567436">
    <w:name w:val="gmail-m_1249094482750387628gmail-m_-3425435351831159210gmail-m_-1911353410593340080gmail-m_3320168151753272124m_-5659195986364689127gmail-m_-7334177313281619431gmail-m_-2762495598599527070m_2543900570073075937gmail-m_-8547988319796202018gmail-m_-1567436"/>
    <w:basedOn w:val="a0"/>
    <w:rsid w:val="003F030F"/>
  </w:style>
  <w:style w:type="character" w:customStyle="1" w:styleId="gmail-m1249094482750387628gmail-m-3425435351831159210gmail-apple-style-span">
    <w:name w:val="gmail-m_1249094482750387628gmail-m_-3425435351831159210gmail-apple-style-span"/>
    <w:basedOn w:val="a0"/>
    <w:rsid w:val="003F030F"/>
  </w:style>
  <w:style w:type="paragraph" w:customStyle="1" w:styleId="inwardtitle">
    <w:name w:val="inward_title"/>
    <w:basedOn w:val="a"/>
    <w:rsid w:val="00BB3A93"/>
    <w:pPr>
      <w:spacing w:before="100" w:beforeAutospacing="1" w:after="100" w:afterAutospacing="1"/>
    </w:pPr>
  </w:style>
  <w:style w:type="paragraph" w:customStyle="1" w:styleId="inwardtxt01">
    <w:name w:val="inward_txt01"/>
    <w:basedOn w:val="a"/>
    <w:rsid w:val="00BB3A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F030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F030F"/>
    <w:pPr>
      <w:spacing w:before="100" w:beforeAutospacing="1" w:after="100" w:afterAutospacing="1"/>
    </w:pPr>
  </w:style>
  <w:style w:type="character" w:customStyle="1" w:styleId="gmail-m1249094482750387628gmail-m-3425435351831159210gmail-m-1911353410593340080gmail-m3320168151753272124m-5659195986364689127gmail-m-7334177313281619431gmail-m-2762495598599527070m2543900570073075937gmail-m-8547988319796202018gmail-m-1567436">
    <w:name w:val="gmail-m_1249094482750387628gmail-m_-3425435351831159210gmail-m_-1911353410593340080gmail-m_3320168151753272124m_-5659195986364689127gmail-m_-7334177313281619431gmail-m_-2762495598599527070m_2543900570073075937gmail-m_-8547988319796202018gmail-m_-1567436"/>
    <w:basedOn w:val="a0"/>
    <w:rsid w:val="003F030F"/>
  </w:style>
  <w:style w:type="character" w:customStyle="1" w:styleId="gmail-m1249094482750387628gmail-m-3425435351831159210gmail-apple-style-span">
    <w:name w:val="gmail-m_1249094482750387628gmail-m_-3425435351831159210gmail-apple-style-span"/>
    <w:basedOn w:val="a0"/>
    <w:rsid w:val="003F030F"/>
  </w:style>
  <w:style w:type="paragraph" w:customStyle="1" w:styleId="inwardtitle">
    <w:name w:val="inward_title"/>
    <w:basedOn w:val="a"/>
    <w:rsid w:val="00BB3A93"/>
    <w:pPr>
      <w:spacing w:before="100" w:beforeAutospacing="1" w:after="100" w:afterAutospacing="1"/>
    </w:pPr>
  </w:style>
  <w:style w:type="paragraph" w:customStyle="1" w:styleId="inwardtxt01">
    <w:name w:val="inward_txt01"/>
    <w:basedOn w:val="a"/>
    <w:rsid w:val="00BB3A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sh.ntpc.edu.tw/news/u_news_v2.asp?id=%7b94784691-FDE4-4069-A04B-A650F602361F%7d&amp;newsid=326&amp;PageNo=3&amp;skeyword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5</cp:revision>
  <cp:lastPrinted>2017-10-27T08:08:00Z</cp:lastPrinted>
  <dcterms:created xsi:type="dcterms:W3CDTF">2017-11-22T02:55:00Z</dcterms:created>
  <dcterms:modified xsi:type="dcterms:W3CDTF">2017-11-22T03:06:00Z</dcterms:modified>
</cp:coreProperties>
</file>